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Příloha vnitřního řádu školní výdejny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Ceník obědů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0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Obědy jsou objednávány a hrazeny prostřednictvím školní aplikace Škrappka (viz návod k aplikaci). Ceny obědů jsou stanoveny cenou od dodavatele, která je navýšena o 3,-Kč za každý prodaný oběd. Navýšení je příspěvkem na provoz aplikace a náklady na dopravu obědů. </w:t>
      </w:r>
    </w:p>
    <w:p w:rsidR="00000000" w:rsidDel="00000000" w:rsidP="00000000" w:rsidRDefault="00000000" w:rsidRPr="00000000" w14:paraId="00000005">
      <w:pPr>
        <w:pageBreakBefore w:val="0"/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9"/>
        <w:gridCol w:w="4749"/>
        <w:tblGridChange w:id="0">
          <w:tblGrid>
            <w:gridCol w:w="4749"/>
            <w:gridCol w:w="474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Kategorie strávníků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Cena za 1 oběd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žáci ZŠ do 11 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59,-Kč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žáci ZŠ 12 - 14 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62,-Kč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studenti SŠ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70,-Kč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personální stravování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63,-Kč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after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6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co958rllvqc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Platnost od: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1. 7. 2022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                </w:t>
        <w:tab/>
        <w:tab/>
        <w:t xml:space="preserve">                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Mgr. Jiří Bartoš, ředitel školy 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566.9291338582677" w:left="1275.5905511811022" w:right="1133" w:header="2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spacing w:after="0" w:line="276" w:lineRule="auto"/>
      <w:ind w:left="-708.6614173228347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7210425" cy="345252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1152" r="-2735" t="0"/>
                  <a:stretch>
                    <a:fillRect/>
                  </a:stretch>
                </pic:blipFill>
                <pic:spPr>
                  <a:xfrm>
                    <a:off x="0" y="0"/>
                    <a:ext cx="7210425" cy="3452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spacing w:after="0" w:line="276" w:lineRule="auto"/>
      <w:ind w:left="-1417.3228346456694" w:firstLine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7587038" cy="535556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7038" cy="5355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after="120" w:line="360" w:lineRule="auto"/>
      <w:jc w:val="both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spacing w:after="120" w:line="360" w:lineRule="auto"/>
      <w:jc w:val="both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spacing w:after="120" w:line="360" w:lineRule="auto"/>
      <w:jc w:val="both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BgK/eOISdVAmpCgtmx7Bvttgw==">AMUW2mUCUGsyTmN9stoSGHoFLVWjS+CSbbGkPNsbvLyorbhlWslOlLGQsXZycpfD0VP2t0MppOyTWumO6aFtpJ6oib4NRfqmuzt1NNWnxaqH40FJ+Xzm+WEfyyu0HJCt2LZllK/zLCCX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